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gif" ContentType="image/gif"/>
  <Default Extension="tiff" ContentType="image/tiff"/>
  <Default Extension="svg" ContentType="image/sv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r="http://schemas.openxmlformats.org/officeDocument/2006/relationships" xmlns:v="urn:schemas-microsoft-com:vml" xmlns:wx="http://schemas.microsoft.com/office/word/2003/auxHint" xmlns:wp="http://schemas.openxmlformats.org/drawingml/2006/wordprocessingDrawing" xmlns:m="http://schemas.openxmlformats.org/officeDocument/2006/math" xmlns:a="http://schemas.openxmlformats.org/drawingml/2006/main" xmlns:pic="http://schemas.openxmlformats.org/drawingml/2006/picture" xmlns:w="http://schemas.openxmlformats.org/wordprocessingml/2006/main">
  <w:body>
    <w:p>
      <w:pPr>
        <w:jc w:val="center"/>
      </w:pPr>
      <w:r>
        <w:rPr>
          <w:b/>
          <w:sz w:val="36"/>
        </w:rPr>
        <w:t xml:space="preserve">Schumanov generator 7.83Hz</w:t>
      </w:r>
    </w:p>
    <w:p>
      <w:pPr/>
    </w:p>
    <w:p>
      <w:pPr/>
      <w:r>
        <w:rPr/>
        <w:t xml:space="preserve"> ﻿</w:t>
      </w:r>
    </w:p>
    <w:p>
      <w:pPr/>
      <w:r>
        <w:rPr>
          <w:b/>
        </w:rPr>
        <w:t xml:space="preserve">Co je to Schumannova frekvence? Historie a fakta</w:t>
      </w:r>
    </w:p>
    <w:p>
      <w:pPr/>
      <w:r>
        <w:rPr/>
        <w:t xml:space="preserve">Frekvenci popsal a detailně definoval německý vědec W.O. Schumann z Mnichovské technické univerzity se svými studenty v 50. letech minulého století.</w:t>
      </w:r>
    </w:p>
    <w:p>
      <w:pPr>
        <w:jc w:val="both"/>
      </w:pPr>
      <w:r>
        <w:rPr/>
        <w:t xml:space="preserve">Schumannova frekvence neboli frekvence 7,83 hz je, dle teorie, souborem spektra vrcholů vln na extrémně nízkých frekvencích. Schumannova frekvence je globální elektromagnetická frekvence, buzená výboji blesků v prostoru mezi povrchem Země a ionosférou.</w:t>
      </w:r>
    </w:p>
    <w:p>
      <w:pPr>
        <w:jc w:val="both"/>
      </w:pPr>
      <w:r>
        <w:rPr/>
        <w:t xml:space="preserve">Působení frekvence 7,83 Hz na lidský mozek, jinak také v EEG záznamech pojmenované jako hladina SuperAlfa je bezpochyby zajímavé. Jde o rozhraní mezi hladinami Alfa a Theta. Dá se říci, že lidský mozek je na frekvenci 7,83hz na hranici mezi bdělostí a relaxací nebo spánkem. Mozek podle potřeby upravuje tuto frekvenci buď směrem dolů až k hladině Delta (min. 0,5 Hz), což je hluboký bezesný spánek nebo naopak směrem nahoru až k hladině Gama (až 30 Hz), což je vrcholná aktivita ve vypjatých situacích.</w:t>
      </w:r>
    </w:p>
    <w:p>
      <w:pPr>
        <w:jc w:val="both"/>
      </w:pPr>
      <w:r>
        <w:rPr/>
        <w:t xml:space="preserve">Problém je, že moderní člověk ztrácí kontakt se základní frekvencí země – 7,83hz. Za zmínku stojí především totální zarušení našeho životního prostoru mikrovlnnými signály mobilních telefonů, wifi, vyzařování počítačů, monitorů, rozvodů vysokého napětí a dalších zařízení. Tělo se dostává do disharmonického stavu. Ten může přispět i ke vzniku civilizačních chorob jako jsou poruchy spánku, narušená rovnováha, nervozita, přecitlivělost na okolní vlivy, častá nemocnost, ale i třeba rakovina. Toto je i populární teze v rámci alternativní, východní medicíny. Naše medicína se pak snaží příznaky ( častěji než skutečný problém) léčit chemií.</w:t>
      </w:r>
    </w:p>
    <w:p>
      <w:pPr>
        <w:jc w:val="both"/>
      </w:pPr>
      <w:r>
        <w:rPr/>
        <w:t xml:space="preserve">Tabulka s přehledem frekvencí, na kterých reaguje lidský mozek (pro ilustraci):</w:t>
      </w:r>
    </w:p>
    <w:p>
      <w:pPr>
        <w:jc w:val="both"/>
        <w:ind w:hanging="432"/>
        <w:ind w:left="720"/>
        <w:numPr>
          <w:ilvl w:val="1"/>
          <w:numId w:val="111"/>
        </w:numPr>
      </w:pPr>
      <w:r>
        <w:rPr/>
        <w:t xml:space="preserve">Beta: 14 Hz a více, stav bdělosti. Je stavem vědomí soustředění se na vnější svět, akceschopnosti a připravenosti reagovat</w:t>
      </w:r>
    </w:p>
    <w:p>
      <w:pPr>
        <w:jc w:val="both"/>
        <w:ind w:hanging="432"/>
        <w:ind w:left="720"/>
        <w:numPr>
          <w:ilvl w:val="1"/>
          <w:numId w:val="111"/>
        </w:numPr>
      </w:pPr>
      <w:r>
        <w:rPr/>
        <w:t xml:space="preserve">	Alfa: 8-13 Hz, stav uvolnění. Je stavem bdělého odpočinku; setrvání v hladině alfa je žádoucí stav většiny známých meditací, posiluje a regeneruje všechny životní funkce</w:t>
      </w:r>
    </w:p>
    <w:p>
      <w:pPr>
        <w:jc w:val="both"/>
        <w:ind w:hanging="432"/>
        <w:ind w:left="720"/>
        <w:numPr>
          <w:ilvl w:val="1"/>
          <w:numId w:val="111"/>
        </w:numPr>
      </w:pPr>
      <w:r>
        <w:rPr/>
        <w:t xml:space="preserve">	Theta: 4-7 Hz, stav představivosti. Je částečným útlumem vědomí, dostáváme se do ní při nejhlubším uvolnění nebo ve spánku, doprovázeném sny. Snění ve stavu theta podporuje představivost a tvořivost</w:t>
      </w:r>
    </w:p>
    <w:p>
      <w:pPr>
        <w:jc w:val="both"/>
        <w:ind w:hanging="432"/>
        <w:ind w:left="720"/>
        <w:numPr>
          <w:ilvl w:val="1"/>
          <w:numId w:val="111"/>
        </w:numPr>
      </w:pPr>
      <w:r>
        <w:rPr/>
        <w:t xml:space="preserve">	Delta: P,5-3 Hz, stav spánku. Je charakterizována naprostým útlumem všech mozkových funkcí. Je přítomna v hlubokém bezesném spánku. Dochází při ní k výrazné regeneraci všech životních funkcí a hromadění energetických rezerv.</w:t>
      </w:r>
    </w:p>
    <w:p>
      <w:pPr>
        <w:jc w:val="both"/>
        <w:ind w:hanging="432"/>
        <w:ind w:left="720"/>
        <w:numPr>
          <w:ilvl w:val="1"/>
          <w:numId w:val="111"/>
        </w:numPr>
      </w:pPr>
      <w:r>
        <w:rPr/>
        <w:t xml:space="preserve">Za zmínku jistě stojí překvapivé zjištění fyzika Robert Becka. Ten v rámci svých výzkumů cestoval po světě a měřil frekvence mozkových vln různých léčitelů. Zjistil, že pro všechny léčitele platil v čase, kdy léčili - nezávisle na způsobu léčení - stejný model frekvence mozkových vln o hodnotě 7,8-8 Hz.</w:t>
      </w:r>
    </w:p>
    <w:p>
      <w:pPr>
        <w:jc w:val="both"/>
        <w:ind w:hanging="432"/>
        <w:ind w:left="720"/>
        <w:numPr>
          <w:ilvl w:val="1"/>
          <w:numId w:val="111"/>
        </w:numPr>
      </w:pPr>
      <w:r>
        <w:rPr/>
        <w:t xml:space="preserve"/>
      </w:r>
    </w:p>
    <w:p>
      <w:pPr>
        <w:jc w:val="both"/>
        <w:ind w:firstLine="0"/>
      </w:pPr>
      <w:r>
        <w:rPr/>
        <w:t xml:space="preserve"/>
      </w:r>
    </w:p>
    <w:p>
      <w:pPr/>
    </w:p>
    <w:p>
      <w:pPr/>
    </w:p>
    <w:p>
      <w:pPr/>
      <w:r>
        <w:rPr/>
        <w:t xml:space="preserve">[Linky]</w:t>
      </w:r>
    </w:p>
    <w:p>
      <w:pPr>
        <w:jc w:val="left"/>
      </w:pPr>
      <w:r>
        <w:rPr/>
        <w:t xml:space="preserve">http://www.matfyz.estranky.sk/clanky/schumannove-rezonancie.html</w:t>
      </w:r>
    </w:p>
    <w:p>
      <w:pPr>
        <w:jc w:val="left"/>
      </w:pPr>
      <w:r>
        <w:rPr/>
        <w:t xml:space="preserve">http://www.schumannresonator.com/</w:t>
      </w:r>
    </w:p>
    <w:p>
      <w:pPr>
        <w:jc w:val="left"/>
      </w:pPr>
      <w:r>
        <w:rPr/>
        <w:t xml:space="preserve">http://www.kabelguru.cz/product-en/electronics/earth-beat----7_83-hz-schumann-wave-gene/30</w:t>
      </w:r>
    </w:p>
    <w:p>
      <w:pPr>
        <w:jc w:val="left"/>
      </w:pPr>
    </w:p>
    <w:p>
      <w:pPr/>
    </w:p>
    <w:p>
      <w:pPr/>
    </w:p>
    <w:p>
      <w:pPr/>
    </w:p>
    <w:sectPr>
      <w:type w:val="continuous"/>
      <w:pgSz w:w="12240" w:h="15840" w:orient="portrait"/>
      <w:pgMar w:top="873" w:left="873" w:right="873" w:bottom="873"/>
    </w:sectPr>
  </w:body>
</w:document>
</file>

<file path=word/endnotes.xml><?xml version="1.0" encoding="utf-8"?>
<w:endnotes xmlns:w="http://schemas.openxmlformats.org/wordprocessingml/2006/main"/>
</file>

<file path=word/footnotes.xml><?xml version="1.0" encoding="utf-8"?>
<w:footnotes xmlns:w="http://schemas.openxmlformats.org/wordprocessingml/2006/main"/>
</file>

<file path=word/numbering.xml><?xml version="1.0" encoding="utf-8"?>
<w:numbering xmlns:w="http://schemas.openxmlformats.org/wordprocessingml/2006/main">
  <w:abstractNum w:abstractNumId="111">
    <w:multiLevelType w:val="hybridMultilevel"/>
    <w:lvl w:ilvl="0">
      <w:start w:val="0"/>
      <w:numFmt w:val="bullet"/>
      <w:lvlText w:val="•"/>
      <w:rPr>
        <w:rFonts w:ascii="Times New Roman" w:cs="Times New Roman" w:hAnsi="Times New Roman"/>
      </w:rPr>
    </w:lvl>
    <w:lvl w:ilvl="1">
      <w:start w:val="0"/>
      <w:numFmt w:val="bullet"/>
      <w:lvlText w:val="•"/>
      <w:rPr>
        <w:rFonts w:ascii="Times New Roman" w:cs="Times New Roman" w:hAnsi="Times New Roman"/>
      </w:rPr>
    </w:lvl>
    <w:lvl w:ilvl="2">
      <w:start w:val="0"/>
      <w:numFmt w:val="bullet"/>
      <w:lvlText w:val="•"/>
      <w:rPr>
        <w:rFonts w:ascii="Times New Roman" w:cs="Times New Roman" w:hAnsi="Times New Roman"/>
      </w:rPr>
    </w:lvl>
    <w:lvl w:ilvl="3">
      <w:start w:val="0"/>
      <w:numFmt w:val="bullet"/>
      <w:lvlText w:val="•"/>
      <w:rPr>
        <w:rFonts w:ascii="Times New Roman" w:cs="Times New Roman" w:hAnsi="Times New Roman"/>
      </w:rPr>
    </w:lvl>
    <w:lvl w:ilvl="4">
      <w:start w:val="0"/>
      <w:numFmt w:val="bullet"/>
      <w:lvlText w:val="•"/>
      <w:rPr>
        <w:rFonts w:ascii="Times New Roman" w:cs="Times New Roman" w:hAnsi="Times New Roman"/>
      </w:rPr>
    </w:lvl>
    <w:lvl w:ilvl="5">
      <w:start w:val="0"/>
      <w:numFmt w:val="bullet"/>
      <w:lvlText w:val="•"/>
      <w:rPr>
        <w:rFonts w:ascii="Times New Roman" w:cs="Times New Roman" w:hAnsi="Times New Roman"/>
      </w:rPr>
    </w:lvl>
    <w:lvl w:ilvl="6">
      <w:start w:val="0"/>
      <w:numFmt w:val="bullet"/>
      <w:lvlText w:val="•"/>
      <w:rPr>
        <w:rFonts w:ascii="Times New Roman" w:cs="Times New Roman" w:hAnsi="Times New Roman"/>
      </w:rPr>
    </w:lvl>
    <w:lvl w:ilvl="7">
      <w:start w:val="0"/>
      <w:numFmt w:val="bullet"/>
      <w:lvlText w:val="•"/>
      <w:rPr>
        <w:rFonts w:ascii="Times New Roman" w:cs="Times New Roman" w:hAnsi="Times New Roman"/>
      </w:rPr>
    </w:lvl>
    <w:lvl w:ilvl="8">
      <w:start w:val="0"/>
      <w:numFmt w:val="bullet"/>
      <w:lvlText w:val="•"/>
      <w:rPr>
        <w:rFonts w:ascii="Times New Roman" w:cs="Times New Roman" w:hAnsi="Times New Roman"/>
      </w:rPr>
    </w:lvl>
  </w:abstractNum>
  <w:num w:numId="111">
    <w:abstractNumId w:val="111"/>
  </w:num>
</w:numbering>
</file>

<file path=word/settings.xml><?xml version="1.0" encoding="utf-8"?>
<w:settings xmlns:r="http://schemas.openxmlformats.org/officeDocument/2006/relationships" xmlns:w="http://schemas.openxmlformats.org/wordprocessingml/2006/main"/>
</file>

<file path=word/styles.xml><?xml version="1.0" encoding="utf-8"?>
<w:styles xmlns:r="http://schemas.openxmlformats.org/officeDocument/2006/relationships" xmlns:w="http://schemas.openxmlformats.org/wordprocessingml/2006/main">
  <w:style w:type="paragraph" w:styleId="Arrowhead List">
    <w:name w:val="Arrowhead List"/>
    <w:basedOn w:val="Normal"/>
    <w:pPr>
      <w:ind w:hanging="432"/>
      <w:ind w:left="720"/>
    </w:pPr>
    <w:rPr/>
  </w:style>
  <w:style w:type="paragraph" w:styleId="Block Text">
    <w:name w:val="Block Text"/>
    <w:basedOn w:val="Normal"/>
    <w:pPr>
      <w:ind w:left="1440"/>
      <w:ind w:right="1440"/>
      <w:spacing w:after="120"/>
    </w:pPr>
    <w:rPr/>
  </w:style>
  <w:style w:type="paragraph" w:styleId="Box List">
    <w:name w:val="Box List"/>
    <w:basedOn w:val="Normal"/>
    <w:pPr>
      <w:ind w:hanging="432"/>
      <w:ind w:left="720"/>
    </w:pPr>
    <w:rPr/>
  </w:style>
  <w:style w:type="paragraph" w:styleId="Bullet List">
    <w:name w:val="Bullet List"/>
    <w:basedOn w:val="Normal"/>
    <w:pPr>
      <w:ind w:hanging="432"/>
      <w:ind w:left="720"/>
    </w:pPr>
    <w:rPr/>
  </w:style>
  <w:style w:type="paragraph" w:styleId="Chapter Heading">
    <w:name w:val="Chapter Heading"/>
    <w:basedOn w:val="Numbered Heading 1"/>
    <w:pPr>
      <w:ind w:firstLine="0"/>
    </w:pPr>
    <w:rPr/>
  </w:style>
  <w:style w:type="paragraph" w:styleId="Contents 1">
    <w:name w:val="Contents 1"/>
    <w:basedOn w:val="Normal"/>
    <w:pPr>
      <w:ind w:hanging="432"/>
      <w:ind w:left="720"/>
    </w:pPr>
    <w:rPr/>
  </w:style>
  <w:style w:type="paragraph" w:styleId="Contents 2">
    <w:name w:val="Contents 2"/>
    <w:basedOn w:val="Normal"/>
    <w:pPr>
      <w:ind w:hanging="432"/>
      <w:ind w:left="1440"/>
    </w:pPr>
    <w:rPr/>
  </w:style>
  <w:style w:type="paragraph" w:styleId="Contents 3">
    <w:name w:val="Contents 3"/>
    <w:basedOn w:val="Normal"/>
    <w:pPr>
      <w:ind w:hanging="432"/>
      <w:ind w:left="2160"/>
    </w:pPr>
    <w:rPr/>
  </w:style>
  <w:style w:type="paragraph" w:styleId="Contents 4">
    <w:name w:val="Contents 4"/>
    <w:basedOn w:val="Normal"/>
    <w:pPr>
      <w:ind w:hanging="432"/>
      <w:ind w:left="2880"/>
    </w:pPr>
    <w:rPr/>
  </w:style>
  <w:style w:type="paragraph" w:styleId="Contents Header">
    <w:name w:val="Contents Header"/>
    <w:basedOn w:val="Normal"/>
    <w:pPr>
      <w:jc w:val="center"/>
      <w:spacing w:after="120"/>
      <w:spacing w:before="240"/>
    </w:pPr>
    <w:rPr>
      <w:b/>
      <w:sz w:val="32"/>
      <w:rFonts w:ascii="Arial" w:cs="Arial" w:hAnsi="Arial"/>
    </w:rPr>
  </w:style>
  <w:style w:type="paragraph" w:styleId="Dashed List">
    <w:name w:val="Dashed List"/>
    <w:basedOn w:val="Normal"/>
    <w:pPr>
      <w:ind w:hanging="432"/>
      <w:ind w:left="720"/>
    </w:pPr>
    <w:rPr/>
  </w:style>
  <w:style w:type="paragraph" w:styleId="Diamond List">
    <w:name w:val="Diamond List"/>
    <w:basedOn w:val="Normal"/>
    <w:pPr>
      <w:ind w:hanging="432"/>
      <w:ind w:left="720"/>
    </w:pPr>
    <w:rPr/>
  </w:style>
  <w:style w:type="paragraph" w:styleId="Endnote">
    <w:name w:val="Endnote"/>
    <w:basedOn w:val="Normal"/>
    <w:pPr>
      <w:ind w:hanging="288"/>
      <w:ind w:left="288"/>
    </w:pPr>
    <w:rPr/>
  </w:style>
  <w:style w:type="character" w:styleId="Endnote Reference">
    <w:name w:val="Endnote Reference"/>
    <w:basedOn w:val="Normal"/>
    <w:pPr/>
    <w:rPr>
      <w:sz w:val="20"/>
      <w:vertAlign w:val="superscript"/>
    </w:rPr>
  </w:style>
  <w:style w:type="paragraph" w:styleId="Endnote Text">
    <w:name w:val="Endnote Text"/>
    <w:basedOn w:val="Normal"/>
    <w:pPr/>
    <w:rPr/>
  </w:style>
  <w:style w:type="paragraph" w:styleId="Footnote">
    <w:name w:val="Footnote"/>
    <w:basedOn w:val="Normal"/>
    <w:pPr>
      <w:ind w:hanging="288"/>
      <w:ind w:left="288"/>
    </w:pPr>
    <w:rPr>
      <w:sz w:val="20"/>
    </w:rPr>
  </w:style>
  <w:style w:type="character" w:styleId="Footnote Reference">
    <w:name w:val="Footnote Reference"/>
    <w:basedOn w:val="Normal"/>
    <w:pPr/>
    <w:rPr>
      <w:sz w:val="20"/>
      <w:vertAlign w:val="superscript"/>
    </w:rPr>
  </w:style>
  <w:style w:type="paragraph" w:styleId="Footnote Text">
    <w:name w:val="Footnote Text"/>
    <w:basedOn w:val="Normal"/>
    <w:pPr/>
    <w:rPr>
      <w:sz w:val="20"/>
    </w:rPr>
  </w:style>
  <w:style w:type="paragraph" w:styleId="Hand List">
    <w:name w:val="Hand List"/>
    <w:basedOn w:val="Normal"/>
    <w:pPr>
      <w:ind w:hanging="432"/>
      <w:ind w:left="720"/>
    </w:pPr>
    <w:rPr/>
  </w:style>
  <w:style w:type="paragraph" w:styleId="Heading 1">
    <w:name w:val="Heading 1"/>
    <w:basedOn w:val="Normal"/>
    <w:pPr>
      <w:spacing w:after="60"/>
      <w:spacing w:before="440"/>
    </w:pPr>
    <w:rPr>
      <w:b/>
      <w:sz w:val="34"/>
      <w:rFonts w:ascii="Arial" w:cs="Arial" w:hAnsi="Arial"/>
    </w:rPr>
  </w:style>
  <w:style w:type="paragraph" w:styleId="Heading 2">
    <w:name w:val="Heading 2"/>
    <w:basedOn w:val="Normal"/>
    <w:pPr>
      <w:spacing w:after="60"/>
      <w:spacing w:before="440"/>
    </w:pPr>
    <w:rPr>
      <w:b/>
      <w:sz w:val="28"/>
      <w:rFonts w:ascii="Arial" w:cs="Arial" w:hAnsi="Arial"/>
    </w:rPr>
  </w:style>
  <w:style w:type="paragraph" w:styleId="Heading 3">
    <w:name w:val="Heading 3"/>
    <w:basedOn w:val="Normal"/>
    <w:pPr>
      <w:spacing w:after="60"/>
      <w:spacing w:before="440"/>
    </w:pPr>
    <w:rPr>
      <w:b/>
      <w:sz w:val="24"/>
      <w:rFonts w:ascii="Arial" w:cs="Arial" w:hAnsi="Arial"/>
    </w:rPr>
  </w:style>
  <w:style w:type="paragraph" w:styleId="Heading 4">
    <w:name w:val="Heading 4"/>
    <w:basedOn w:val="Normal"/>
    <w:pPr>
      <w:spacing w:after="60"/>
      <w:spacing w:before="440"/>
    </w:pPr>
    <w:rPr>
      <w:b/>
      <w:sz w:val="24"/>
      <w:rFonts w:ascii="Arial" w:cs="Arial" w:hAnsi="Arial"/>
    </w:rPr>
  </w:style>
  <w:style w:type="paragraph" w:styleId="Heart List">
    <w:name w:val="Heart List"/>
    <w:basedOn w:val="Normal"/>
    <w:pPr>
      <w:ind w:hanging="432"/>
      <w:ind w:left="720"/>
    </w:pPr>
    <w:rPr/>
  </w:style>
  <w:style w:type="paragraph" w:styleId="Implies List">
    <w:name w:val="Implies List"/>
    <w:basedOn w:val="Normal"/>
    <w:pPr>
      <w:ind w:hanging="432"/>
      <w:ind w:left="720"/>
    </w:pPr>
    <w:rPr/>
  </w:style>
  <w:style w:type="paragraph" w:styleId="Lower Case List">
    <w:name w:val="Lower Case List"/>
    <w:basedOn w:val="Numbered List"/>
    <w:pPr>
      <w:ind w:hanging="432"/>
      <w:ind w:left="720"/>
    </w:pPr>
    <w:rPr/>
  </w:style>
  <w:style w:type="paragraph" w:styleId="Lower Roman List">
    <w:name w:val="Lower Roman List"/>
    <w:basedOn w:val="Normal"/>
    <w:pPr>
      <w:ind w:hanging="432"/>
      <w:ind w:left="720"/>
    </w:pPr>
    <w:rPr/>
  </w:style>
  <w:docDefaults>
    <w:pPrDefault>
      <w:pPr>
        <w:jc w:val="left"/>
        <w:ind w:firstLine="0"/>
        <w:spacing w:after="0"/>
        <w:spacing w:before="0"/>
        <w:spacing w:line="276" w:lineRule="auto"/>
      </w:pPr>
    </w:pPrDefault>
    <w:rPrDefault>
      <w:rPr>
        <w:sz w:val="22"/>
        <w:rFonts w:ascii="Arial" w:cs="Arial" w:hAnsi="Arial"/>
        <w:color w:val="000000"/>
      </w:rPr>
    </w:rPrDefault>
  </w:docDefaults>
  <w:style w:type="paragraph" w:styleId="Numbered Heading 1">
    <w:name w:val="Numbered Heading 1"/>
    <w:basedOn w:val="Heading 1"/>
    <w:pPr>
      <w:ind w:firstLine="0"/>
    </w:pPr>
    <w:rPr/>
  </w:style>
  <w:style w:type="paragraph" w:styleId="Numbered Heading 2">
    <w:name w:val="Numbered Heading 2"/>
    <w:basedOn w:val="Heading 2"/>
    <w:pPr>
      <w:ind w:firstLine="0"/>
    </w:pPr>
    <w:rPr/>
  </w:style>
  <w:style w:type="paragraph" w:styleId="Numbered Heading 3">
    <w:name w:val="Numbered Heading 3"/>
    <w:basedOn w:val="Heading 3"/>
    <w:pPr>
      <w:ind w:firstLine="0"/>
    </w:pPr>
    <w:rPr/>
  </w:style>
  <w:style w:type="paragraph" w:styleId="Numbered List">
    <w:name w:val="Numbered List"/>
    <w:basedOn w:val="Normal"/>
    <w:pPr>
      <w:ind w:hanging="432"/>
      <w:ind w:left="720"/>
    </w:pPr>
    <w:rPr/>
  </w:style>
  <w:style w:type="paragraph" w:styleId="Plain Text">
    <w:name w:val="Plain Text"/>
    <w:basedOn w:val="Normal"/>
    <w:pPr/>
    <w:rPr>
      <w:rFonts w:ascii="Courier New" w:cs="Courier New" w:hAnsi="Courier New"/>
    </w:rPr>
  </w:style>
  <w:style w:type="paragraph" w:styleId="Section Heading">
    <w:name w:val="Section Heading"/>
    <w:basedOn w:val="Numbered Heading 1"/>
    <w:pPr>
      <w:ind w:firstLine="0"/>
    </w:pPr>
    <w:rPr/>
  </w:style>
  <w:style w:type="paragraph" w:styleId="Square List">
    <w:name w:val="Square List"/>
    <w:basedOn w:val="Normal"/>
    <w:pPr>
      <w:ind w:hanging="432"/>
      <w:ind w:left="720"/>
    </w:pPr>
    <w:rPr/>
  </w:style>
  <w:style w:type="paragraph" w:styleId="Star List">
    <w:name w:val="Star List"/>
    <w:basedOn w:val="Normal"/>
    <w:pPr>
      <w:ind w:hanging="432"/>
      <w:ind w:left="720"/>
    </w:pPr>
    <w:rPr/>
  </w:style>
  <w:style w:type="paragraph" w:styleId="Table Normal">
    <w:name w:val="Table Normal"/>
    <w:basedOn w:val="Normal"/>
    <w:pPr/>
    <w:rPr/>
  </w:style>
  <w:style w:type="paragraph" w:styleId="Tick List">
    <w:name w:val="Tick List"/>
    <w:basedOn w:val="Normal"/>
    <w:pPr>
      <w:ind w:hanging="432"/>
      <w:ind w:left="720"/>
    </w:pPr>
    <w:rPr/>
  </w:style>
  <w:style w:type="paragraph" w:styleId="Triangle List">
    <w:name w:val="Triangle List"/>
    <w:basedOn w:val="Normal"/>
    <w:pPr>
      <w:ind w:hanging="432"/>
      <w:ind w:left="720"/>
    </w:pPr>
    <w:rPr/>
  </w:style>
  <w:style w:type="paragraph" w:styleId="Upper Case List">
    <w:name w:val="Upper Case List"/>
    <w:basedOn w:val="Numbered List"/>
    <w:pPr>
      <w:ind w:hanging="432"/>
      <w:ind w:left="720"/>
    </w:pPr>
    <w:rPr/>
  </w:style>
  <w:style w:type="paragraph" w:styleId="Upper Roman List">
    <w:name w:val="Upper Roman List"/>
    <w:basedOn w:val="Numbered List"/>
    <w:pPr>
      <w:ind w:hanging="432"/>
      <w:ind w:left="720"/>
    </w:pPr>
    <w:rPr/>
  </w:style>
  <w:style w:type="paragraph" w:styleId="normal">
    <w:name w:val="normal"/>
    <w:basedOn w:val="Normal"/>
    <w:pPr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/Relationships>
</file>